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85EE6C">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259CFBD8">
      <w:pPr>
        <w:spacing w:line="540" w:lineRule="exact"/>
        <w:jc w:val="center"/>
        <w:rPr>
          <w:rFonts w:ascii="方正小标宋_GBK" w:hAnsi="华文中宋" w:eastAsia="方正小标宋_GBK" w:cs="宋体"/>
          <w:b/>
          <w:kern w:val="0"/>
          <w:sz w:val="48"/>
          <w:szCs w:val="48"/>
        </w:rPr>
      </w:pPr>
    </w:p>
    <w:p w14:paraId="54FE78AC">
      <w:pPr>
        <w:spacing w:line="540" w:lineRule="exact"/>
        <w:jc w:val="center"/>
        <w:rPr>
          <w:rFonts w:ascii="方正小标宋_GBK" w:hAnsi="华文中宋" w:eastAsia="方正小标宋_GBK" w:cs="宋体"/>
          <w:b/>
          <w:kern w:val="0"/>
          <w:sz w:val="48"/>
          <w:szCs w:val="48"/>
        </w:rPr>
      </w:pPr>
    </w:p>
    <w:p w14:paraId="1286F6F4">
      <w:pPr>
        <w:spacing w:line="540" w:lineRule="exact"/>
        <w:jc w:val="center"/>
        <w:rPr>
          <w:rFonts w:ascii="方正小标宋_GBK" w:hAnsi="华文中宋" w:eastAsia="方正小标宋_GBK" w:cs="宋体"/>
          <w:b/>
          <w:kern w:val="0"/>
          <w:sz w:val="48"/>
          <w:szCs w:val="48"/>
        </w:rPr>
      </w:pPr>
    </w:p>
    <w:p w14:paraId="394962E1">
      <w:pPr>
        <w:spacing w:line="540" w:lineRule="exact"/>
        <w:jc w:val="center"/>
        <w:rPr>
          <w:rFonts w:ascii="方正小标宋_GBK" w:hAnsi="华文中宋" w:eastAsia="方正小标宋_GBK" w:cs="宋体"/>
          <w:b/>
          <w:kern w:val="0"/>
          <w:sz w:val="48"/>
          <w:szCs w:val="48"/>
        </w:rPr>
      </w:pPr>
    </w:p>
    <w:p w14:paraId="523A14F3">
      <w:pPr>
        <w:spacing w:line="540" w:lineRule="exact"/>
        <w:jc w:val="center"/>
        <w:rPr>
          <w:rFonts w:ascii="方正小标宋_GBK" w:hAnsi="华文中宋" w:eastAsia="方正小标宋_GBK" w:cs="宋体"/>
          <w:b/>
          <w:kern w:val="0"/>
          <w:sz w:val="48"/>
          <w:szCs w:val="48"/>
        </w:rPr>
      </w:pPr>
    </w:p>
    <w:p w14:paraId="3EDFC9A1">
      <w:pPr>
        <w:spacing w:line="540" w:lineRule="exact"/>
        <w:jc w:val="center"/>
        <w:rPr>
          <w:rFonts w:ascii="方正小标宋_GBK" w:hAnsi="华文中宋" w:eastAsia="方正小标宋_GBK" w:cs="宋体"/>
          <w:b/>
          <w:kern w:val="0"/>
          <w:sz w:val="48"/>
          <w:szCs w:val="48"/>
        </w:rPr>
      </w:pPr>
    </w:p>
    <w:p w14:paraId="5D2DA097">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122A3337">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13CCCECE">
      <w:pPr>
        <w:spacing w:line="540" w:lineRule="exact"/>
        <w:jc w:val="center"/>
        <w:rPr>
          <w:rFonts w:ascii="华文中宋" w:hAnsi="华文中宋" w:eastAsia="华文中宋" w:cs="宋体"/>
          <w:b/>
          <w:kern w:val="0"/>
          <w:sz w:val="52"/>
          <w:szCs w:val="52"/>
        </w:rPr>
      </w:pPr>
    </w:p>
    <w:p w14:paraId="73855348">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2E09D8CD">
      <w:pPr>
        <w:spacing w:line="700" w:lineRule="exact"/>
        <w:jc w:val="left"/>
        <w:rPr>
          <w:rFonts w:hint="eastAsia" w:hAnsi="宋体" w:eastAsia="仿宋_GB2312" w:cs="宋体"/>
          <w:kern w:val="0"/>
          <w:sz w:val="36"/>
          <w:szCs w:val="36"/>
        </w:rPr>
      </w:pPr>
    </w:p>
    <w:p w14:paraId="08B9F7FA">
      <w:pPr>
        <w:spacing w:line="700" w:lineRule="exact"/>
        <w:jc w:val="left"/>
        <w:rPr>
          <w:rFonts w:hint="eastAsia" w:hAnsi="宋体" w:eastAsia="仿宋_GB2312" w:cs="宋体"/>
          <w:kern w:val="0"/>
          <w:sz w:val="36"/>
          <w:szCs w:val="36"/>
        </w:rPr>
      </w:pPr>
    </w:p>
    <w:p w14:paraId="051662DD">
      <w:pPr>
        <w:spacing w:line="700" w:lineRule="exact"/>
        <w:jc w:val="left"/>
        <w:rPr>
          <w:rFonts w:hint="eastAsia" w:hAnsi="宋体" w:eastAsia="仿宋_GB2312" w:cs="宋体"/>
          <w:kern w:val="0"/>
          <w:sz w:val="36"/>
          <w:szCs w:val="36"/>
          <w:lang w:eastAsia="zh-CN"/>
        </w:rPr>
      </w:pPr>
    </w:p>
    <w:p w14:paraId="1B9FD224">
      <w:pPr>
        <w:spacing w:line="700" w:lineRule="exact"/>
        <w:jc w:val="left"/>
        <w:rPr>
          <w:rFonts w:hint="eastAsia" w:hAnsi="宋体" w:eastAsia="仿宋_GB2312" w:cs="宋体"/>
          <w:kern w:val="0"/>
          <w:sz w:val="36"/>
          <w:szCs w:val="36"/>
          <w:lang w:eastAsia="zh-CN"/>
        </w:rPr>
      </w:pPr>
    </w:p>
    <w:p w14:paraId="6361767C">
      <w:pPr>
        <w:spacing w:line="700" w:lineRule="exact"/>
        <w:jc w:val="left"/>
        <w:rPr>
          <w:rFonts w:hint="eastAsia" w:hAnsi="宋体" w:eastAsia="仿宋_GB2312" w:cs="宋体"/>
          <w:kern w:val="0"/>
          <w:sz w:val="36"/>
          <w:szCs w:val="36"/>
          <w:lang w:eastAsia="zh-CN"/>
        </w:rPr>
      </w:pPr>
    </w:p>
    <w:p w14:paraId="784B8827">
      <w:pPr>
        <w:spacing w:line="700" w:lineRule="exact"/>
        <w:jc w:val="left"/>
        <w:rPr>
          <w:rFonts w:hint="eastAsia" w:hAnsi="宋体" w:eastAsia="仿宋_GB2312" w:cs="宋体"/>
          <w:kern w:val="0"/>
          <w:sz w:val="36"/>
          <w:szCs w:val="36"/>
          <w:lang w:eastAsia="zh-CN"/>
        </w:rPr>
      </w:pPr>
    </w:p>
    <w:p w14:paraId="28760182">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克州发改委</w:t>
      </w:r>
    </w:p>
    <w:p w14:paraId="2CEA776B">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735C282B">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26556343">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6A871362">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研究提出自治州国民经济和社会发展战略、中长期规划，贯彻执行国家和自治区国民经济和社会发展方针、政策；统筹协调自治州经济社会发展，研究分析州内外经济形势，提出国民经济发展、价格总水平调控和优化重大经济结构的目标、政策，提出综合运用各种经济手段和政策的建议；组织研究、协调实施重点专项规划，衔接、平衡各县（市）及主要行业的规划；受自治州人民政府委托向自治州人大提交国民经济和社会发展计划的报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（2）负责监测宏观经济和社会发展态势，承担预测预警和信息引导的责任；提出促进自治州经济高质量发展的政策建议；研究涉及经济安全及总体产业安全等重要问题并提出政策措施和建议。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负责汇总分析自治州财政、金融、产业、价格政策等方面的情况和执行效果，提出政策建议；组织实施价格政策；制定和调整政府管理的重要商品价格、服务价格和收费项目、标准；发布重大价格信息，规范市场价格行为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承担经济体制改革的责任，研究自治州经济体制改革和对外开放的重大问题，组织拟订自治州综合性经济体制改革方案，协调有关专项经济体制改革方案，指导经济体制改革试点工作；组织制定区域经济协调发展规划和政策；负责自治州对口援疆有关综合协调工作；负责自治州推进实施“一带一路”建设的日常组织协调工作；推进西部大开发战略和重大政策的实施；推进自治州城镇化建设。</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承担规划重大建设项目和生产力布局的职责，研究提出自治州全社会固定资产投资总规模和投资结构的目标政策及措施，规划重大项目和生产力布局；衔接平衡需要中央财政、自治区财政投资和涉及重大建设项目的专项规划；编制、下达自治州固定资产投资计划、重点项目建设计划和前期项目计划；负责自治州重大项目的管理和组织协调；安排自治州财政预算内建设资金，引导社会投资方向；按照管理权限，负责审核上报、审批、核准、备案固定资产投资项目，审查、审批项目初步设计；组织实施自治州固定资产投资项目节能评估审查工作；指导和协调自治州招投标工作；会同有关部门拟定自治州招投标配套法规、综合性政策；负责重大项目招投标活动有关监督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推进产业结构战略性调整和升级。组织拟定综合性产业政策，负责协调第一、二、三产业发展的重大问题，做好与国民经济和社会发展规划、计划的衔接平衡；提出国民经济重要产业的发展战略和规划，组织审核上报、审批专项规划；研究农业和农村经济社会发展的有关重大问题，衔接农村专项规划和政策；拟定并实施以工代赈规划和计划；研究提出能源发展战略、规划；组织拟定高技术产业发展、产业技术进步的战略、规划和政策，推动高技术产业化发展；规划、指导服务业的建设与发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7）研究提出利用外资和境外投资的战略、总量平衡和结构优化的目标和政策；监测国外资金利用和境外投资情况以及自治州外债结构优化状况；按照管理权限，负责审核上报、审批、核准、备案国外贷款项目、外商直接投资项目和境外投资项目；会同有关部门协调和审查利用重大内外资项目；会同有关部门做好招商引资工作；会同有关部门指导、协调、审核自治州各类开发区等特殊经济区和开放地区的规划、布局和设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（8）承担重要商品总量平衡和宏观调控的责任，研究分析国内外市场供求状况，编制自治州重要农产品、工业品和原材料进出口总量计划并监督执行。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9）负责自治州社会发展与国民经济发展的政策衔接，组织拟定社会发展战略、总体规划，参与拟定人口和计划生育、科学技术、教育、文化、卫生、民政等发展政策，协调自治州社会事业发展的重大问题；研究提出促进就业、消费、调整收入分配、完善社会保障与经济协调发展的政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10）推进可持续发展战略，负责自治州全社会节能综合协调工作，组织拟订发展循环经济、全社会能源资源节约和综合利用规划及政策措施并协调实施。会同有关部门研究提出自治州生态建设、环境保护规划、资源节约综合利用规划和政策；协调生态建设、环保产业和资源节约综合利用的重大问题，综合协调环保产业和清洁生产促进有关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11）贯彻执行国家、自治区粮食和物资储备的方针政策和法律法规，拟订粮食流通、地方储备油和物资储备工作的法规、规章草案和有关政策；研究提出地方储备粮油和物资储备规划储备品种目录的建议；负责编制粮油、棉花、食糖、食盐等物资的储备、轮换和日常管理；承担自治区级生活类救灾物资储备管理及自治州救灾物资储备采购和储备管理工作，落实有关动用计划和指令；负责自治州地方储备粮油行政管理工作，指导和协调地方储备粮油管理，研究提出地方储备粮油总体布局和收购、销售、轮换计划建议；承担粮食监测预警和应急责任，承担粮食安全州长责任制考核的日常工作；承担粮食和物资储备系统军民融合工作；组织实施国家粮食和物资储备仓库管理有关技术标准和规范，指导粮食流通和物资储备承储单位安全生产工作；根据粮食和物资储备总体发展规划，统一负责储备基础设施建设和管理；拟订储备基础设施、粮食流通设施规划并组织实施，管理有关储备基础设施和粮食流通设施国家和自治区投资项目；负责对管理的政府储备、企业储备以及储备政策落实情况和粮食流通进行监督检查，负责粮食收购、储存、运输环节质量安全和原粮卫生的监督管理，组织实施粮食库存检查工作；负责粮食流通行政管理、行业指导，起草粮食行业发展规划，组织实施国家粮食流通和物资储备有关标准、粮食质量标准和技术规范，会同有关部门拟订粮食流通和物资储备有关地方标准和技术规范并监督执行；承担粮食流通的对外合作与交流。</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（12）起草自治州国民经济和社会发展及经济体制改革、对外开放的有关地方性法规和规章。</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（13）按照“管行业必须管安全、管业务必须管安全”的要求，对本行业领域安全生产负行业监管（行业主管）职责，组织开展本行业领域安全生产宣传教育、日常监督检查工作。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（14）完成自治州党委、自治州人民政府交办的其他任务。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发展和改革委员会无下属预算单位，下设11个内设机构，分别是：办公室，综合规划科（“一带一路”协调推进科），政策法规和经济体制改革科，固定资产投资科（资源节约和环境保护科），项目建设管理科（社会发展科），产业发展和财经贸易科，地区和农村经济科，收费价格管理科，煤炭电力科，油气和可再生能源科，粮食和物资储备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克州发展和改革委员会编制数为54名，其中：行政人员编制24名、工勤编制3名、事业编制27人。截止2021年12月实有在职人数41人，其中：行政在职25人、工勤3名、事业12人、公益性岗位人员1人。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州发改委党组在自治州党委、政府的坚强领导下，以习近平新时代中国特色社会主义思想为指导，认真学习贯彻党的十九届五中、六中全会和第三次中央新疆工作座谈会精神，全面落实自治区党委“1+3”重点工作部署和自治州党委政府有关工作要求，深入贯彻落实自治区第十次党代会和自治州第十一次党代会精神，统筹疫情防控和经济社会发展，扎实做好“六稳”工作，全面落实“六保”任务，持续扩大稳定红利，促进发展改革各项工作有序推进，为自治州社会稳定和长治久安总目标的实现打下坚实的基础。</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是立足“两个统筹”（统筹疫情防控和经济社会发展、统筹发展和安全），重点工作有效落实。加快推进基层公安、戒毒所等14个项目建设，夯实了社会稳定基础；政府和市场成品粮油储备5898吨、应急救灾物资6.2万件，有效保障疫情防控物资供应。常态化开展煤矿、油气长输管道安全生产专项整治，安全生产责任有效落实；编制完成克州“十四五”规划和2035年远景目标纲要和年度“六重”清单，2021年地区生产总值实现197.84亿元，同比增长6.8%。</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二是紧贴民生推动高质量发展，发展改革工作取得扎实实效。积极争取国家、自治区项目落地161个、资金48.3亿元，一批重大项目相继建成或开工；</w:t>
      </w:r>
      <w:r>
        <w:rPr>
          <w:rFonts w:hint="eastAsia" w:ascii="仿宋_GB2312" w:hAnsi="宋体" w:eastAsia="仿宋_GB2312"/>
          <w:b w:val="0"/>
          <w:bCs/>
          <w:sz w:val="32"/>
          <w:szCs w:val="32"/>
          <w:lang w:eastAsia="zh-CN"/>
        </w:rPr>
        <w:t>巩固拓展脱贫攻坚成果同乡村振兴有效衔接</w:t>
      </w:r>
      <w:r>
        <w:rPr>
          <w:rFonts w:hint="eastAsia" w:ascii="仿宋_GB2312" w:hAnsi="宋体" w:eastAsia="仿宋_GB2312"/>
          <w:b w:val="0"/>
          <w:bCs/>
          <w:sz w:val="32"/>
          <w:szCs w:val="32"/>
        </w:rPr>
        <w:t>，2.41万户“煤改电”工程建成投用，实施32个以工代赈项目带动农牧民群众1967人增收，易地扶贫搬迁群众实现稳定就业6152人；承接并完成经济生态体制改革事项26项，丝绸之路经济带核心区重要门户建设加快推进。实施对口援疆项目199个、投资7.7亿元，对口援疆综合效益不断提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三是强化沟通衔接，参谋助手作用不断增强。认真履行粮食安全、项目建设、兵地融合等统筹协调职责，积极发挥参谋助手作用，圆满完成了州委、州人民政府交办的各项任务。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孜勒苏柯尔克孜自治州发展和改革委员会单位内部控制规范》，主要内容包括如下几个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克孜勒苏柯尔克孜自治州发展和改革委员会集体决策制度》和《克孜勒苏柯尔克孜自治州发展和改革委员会项目管理办法》办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孜勒苏柯尔克孜自治州发展和改革委员会政府采购管理办法》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克孜勒苏柯尔克孜自治州发展和改革委员会合同管理办法》相关规定，克孜勒苏柯尔克孜自治州发展和改革委员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（三）项目资金分配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827.62万元，项目支出安排资金695.70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本单位2021年度项目支出695.70万元，涉及项目数量9个，其中：重点项目支出499.70万元，涉及重点项目数量1个，重点项目支出与部门项目总支出的比率为71.83%。</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2021年度本单位年初批复部门预算资金总额为733.11万元，年中调增预算总额为806.84万元，调整后全年预算资金总额为1,539.95万元。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2021年度本单位部门整体支出资金总额为1523.32万元，预算执行率为98.92%，预算调整率为</w:t>
      </w:r>
      <w:r>
        <w:rPr>
          <w:rFonts w:hint="eastAsia" w:ascii="仿宋_GB2312" w:hAnsi="宋体" w:eastAsia="仿宋_GB2312"/>
          <w:b w:val="0"/>
          <w:bCs/>
          <w:sz w:val="32"/>
          <w:szCs w:val="32"/>
          <w:lang w:val="en-US" w:eastAsia="zh-CN"/>
        </w:rPr>
        <w:t>110.06</w:t>
      </w:r>
      <w:r>
        <w:rPr>
          <w:rFonts w:hint="eastAsia" w:ascii="仿宋_GB2312" w:hAnsi="宋体" w:eastAsia="仿宋_GB2312"/>
          <w:b w:val="0"/>
          <w:bCs/>
          <w:sz w:val="32"/>
          <w:szCs w:val="32"/>
        </w:rPr>
        <w:t>%。</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年初政府采购预算数为67.35万元，实际政府采购数为413.09万元，政府采购执行率为613.35%。</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（五）评价使用方法和主要内容、涉及范围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2C5ED279">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3555E56B">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加强我单位预算管理、规范财务行为我单位制定了《克孜勒苏柯尔克孜自治州发展和改革委员会内部控制规范》《克孜勒苏柯尔克孜自治州发展和改革委员会项目管理规范》等资金管理制度，已建立制度均健全且有效运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2021年度我单位基本支出预算总额为827.62万元，其中人员经费762.98万元，公用经费64.64万元。实际执行总额为827.62万元，预算执行率100%。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一般公共预算“三公”经费支出决算10.26万元，比上年减少0.89万元，减少7.97%，主要原因是：按照厉行节约的要求，2021年缩减公务车运行维护费，因此支出随之减少。其中，因公出国（境）费支出0万元；公务用车购置及运行维护费支出8.38万元；公务接待费支出1.89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与年初预算数相比情况：一般公共预算“三公”经费支出年初预算数17元，预算执行数为10.26万元，执行率为60.35%，主要原因是：按照厉行节约的要求，2021年缩减公务车运行维护费，因此支出随之减少。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2021年度本单位项目支出预算总额为712.34（全年预算数）万元，实际执行资金总额为695.70（全年实际支出数）万元，预算执行率为97.66%。</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2021年度预算安排专项资金677.32万元，实际支出资金662.96万元，预算执行率为97.88%，涉及项目个数6个，专项经费按照政策要求实行专款专用，不存在截留、挤占、挪用、虚列支出。各项目详细执行情况如下：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农产品成本调查经费项目:全年预算数为6.5万元，预算执行数为6.5万元，预算执行率为100%。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第一书记办实事经费项目:全年预算数为17万元，预算执行数为16.92万元，预算执行率为99.53%。</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阿克陶县抽水蓄能电站项目前期费项目:全年预算数为500万元，预算执行数为499.70万元，预算执行率为99.94%。</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2020年第六批自治区预算内基建投资预算-前期费项目:全年预算数为46万元，预算执行数为36万元，预算执行率为78.26%。</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2020中央投资项目申报咨询服务资金项目:全年预算数为35万元，预算执行数为35万元，预算执行率为100%。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2018年优质粮食工程奖励项目:全年预算数为72.84万元，预算执行数为68.84万元，预算执行率为94.56%。</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2021年度预算安排本级财力资金35万元，实际支出资金32.75万元，预算执行率为93.57%，涉及项目个数3个，各项目详细执行情况如下：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节能减排专项资金项目:全年预算数为5万元，预算执行数为5万元，预算执行率为100%。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群众工作经费项目:全年预算数为10万元，预算执行数为7.75万元，预算执行率为77.5%。</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援疆工作经费项目:全年预算数为20万元，预算执行数为20万元，预算执行率为100%。</w:t>
      </w:r>
    </w:p>
    <w:p w14:paraId="4D108B17">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24C8A004">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97.88%。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农产品成本调查经费项目：依据《关于提前下达2021年度农产品成本调查经费的通知》（克财建[2020]124号）文件。根据自治区财政厅《关于下达2021年农产品成本调查经费的通知》（克财建[2020]124号）文件。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第一书记办实事经费项目：根据《自治区“访民情惠民生聚民心”驻村工作为民办实事工作经费使用管理办法（试行）的通知》（新民办发〔2016〕62号）文件，根据关于《2017年自治区访惠聚“驻村工作专项经费有关事宜通知》和关于印发《自治区村（社区）党组织第一书记工作经费使用管理办法（实行）的通知（克民办发【2017】26号）》文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阿克陶县抽水蓄能电站项目前期费项目：依据《关于下达2020年第三批自治区预算内基建投资预算（前期费）的通知》（克财建[2020]98号）文件。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2020年第六批自治区预算内基建投资预算-前期费项目：依据《关于下达2020年第六批自治区预算内基建投资预算（前期费）的通知》（新财建[2020]203号）文件，自治区发展改革委《关于2020年第六批自治区预算内基建投资计划的通知》（新发改投资[2020]434号）文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2020中央投资项目申报咨询服务资金项目：依据自治州党委财政委会议纪要（克党财[2020]2号）同意了《关于申请自治州2020年新增中央投资项目申报咨询服务资金的请示》文件。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2018年优质粮食工程奖励项目：依据《关于拨付2018年“优质粮食工程”奖励资金的通知》（克财建[2018]13号）文件，自治区财政厅《关于拨付2018年“优质粮食工程”奖励资金的通知》（新财建[2018]386号）文件。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6项专项，总投入共计677.34万元，资金全部到位，实际使用资金662.96万元，专项资金执行率为97.88%。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3.项目实施情况分析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（1）组织情况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（2）管理情况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①制订《克孜勒苏柯尔克孜自治州发展和改革委员会经费使用规范》,为合理合规使用经费提供了有力的制度保障。同时,建立区委组织部项目经费内部管控制度，并严格按要求落实。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（3）监管情况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4.项目绩效情况分析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成本节约：我单位6个项目成本均未超预算，预算执行率达97.88%。</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我单位共有5个项目，项目实施进度已达到100%.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农产品成本调查经费项目：主要用于制定农产品价格、财政补助、保险及农业支持政策提供参考数据，有利于建立农资综合补贴动态调整机制提供成本数据，为农业补贴政策的调整公共科学依据。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第一书记办实事经费项目：主要用于开展群众工作，有利于完成群众工作任务，深入基层，积极为民办实事好事，顺利开展阿图什市肖鲁克村基层组织工作，帮助解决农牧民生产生活等困难问题，宣传党的各项惠民政策，维护社会稳定和长治久安，进一步增强农牧民的幸福感和获得感。</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阿克陶县抽水蓄能电站项目前期费项目：主要用于保障和改善当地民生，有利于保障和改善当地民生,改善当地生态环境，积极推进我州实现社会稳定和长治久安总目标。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2020年第六批自治区预算内基建投资预算-前期费经费项目：主要用于新疆经济社会发展重大项目推介会克州专场推介会整体咨询策划咨询服务，有利于专项推介会展览展陈、概念图、空间效果图、版式稿设计，完成云客厅平台开发搭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2020中央投资项目申报咨询服务资金经费项目：主要用于推动克州基础设施领域项目前期工作，有利于推动克州经济社会发展长远稳定发展。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2018年优质粮食工程奖励经费项目：主要用于“优质粮食工程”安期完成项目建设规模，有利于升全区粮食质量检测能力，确保安全粮食储备质量，优化区域内粮食质检机构布局，为保障区域粮食安全发挥积极作用。</w:t>
      </w:r>
    </w:p>
    <w:p w14:paraId="66193360">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56054F55">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本单位2021年初资产合计数为142.16万元，年末资产合计数为851.40万元。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截止本年度固定资产账面净值794.40万元，年末实际在用固定资产794.40万元，固定资产利用率为100%。</w:t>
      </w:r>
    </w:p>
    <w:p w14:paraId="404944AB">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6FFF897F">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部门单位整体支出自评表，共设置一级指标3个，二级指标9个，三级指标27个。</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1.产出数量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保障人员人数（人）指标，预期指标是83人，实际完成值是80人，指标完成率是96.38%，未达成预期目标。偏差原因：2021年2名退休人员去世，1人因工作人事变动调离本单位。改进措施：做好年初预算。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保障车辆数（辆）指，预期指标值为3辆，实际完成指标值为3辆，指标完成率为100%，达成预期目标。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保障群众工作人员补助（人）指标，预期指标值为8人，实际完成指标值为8人，指标完成率为100%，达成预期目标。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节能目标的考核、奖励次数（次）指标，预期指标值为1次，实际完成指标值为1次，指标完成率为100%，达成预期目标。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购买办公综合耗材次数（次）指标，预期指标值为≥7次，实际完成指标值为7次，指标完成率为100%，达成预期目标。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办实事好事数量（件）指标，预期指标值为≥20件，实际完成指标值为20件，指标完成率为100%，达成预期目标。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贫困户慰问次数（次）指标，预期指标值为≥10件，实际完成指标值为10件，指标完成率为100%，达成预期目标。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宣传、文体活动次数（次）指标：预期指标值为≥5次，实际完成指标值为2次，指标完成率为40%，原因：疫情原因开展不了此项工作。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对接援疆项目数（项）指标，预期指标值为≥50项，实际完成指标值为50项，指标完成率为100%，达成预期目标。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（2）产出质量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工资发放比例（%）指标：预期指标值为100%，实际完成指标值为100%，指标完成率为100%，达到质量提升及标准。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公用经费完成率（%）指标：预期指标值为100%，实际完成指标值为100%，指标完成率为100%，达到质量提升及标准。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购买办公综合耗材政府采购率（%）指标：预期指标值为100%，实际完成指标值为100%，指标完成率为100%，达到质量提升及标准。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资金使用合规率（%）指标：预期指标值为100%，实际完成指标值为100%，指标完成率为100%达到质量提升及标准。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走访群众覆盖率（%）指标：预期指标值为≥98%，实际完成指标值为98%，指标完成率为100%，达到质量提升及标准。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文体活动参与率（%）指标，预期指标值为≥90%，实际完成指标值为90%，指标完成率为100%。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（3）产出进度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各项工作安期开展及时率（%）指标：预期指标值为100%，实际完成指标值为100%，指标完成率为100%，达到预期目标。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（4）产出成本</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人员经费（万元）指标，预期指标值为617.65万元，实际完成指标值为617.65万元，指标完成率为100%，达到成本控制及改善目标。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公用经费（万元）指标，预期指标值为63.46万元，实际完成指标值为63.46万元，指标完成率为100%，达到成本控制及改善目标。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项目支出（万元）指标，预期指标值为52万元，实际完成指标值为52万元，指标完成率为100%，达到成本控制及改善目标。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（1）项目实施的经济效益分析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（2）项目实施的社会效益分析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控制好能源消耗，建设美好克州指标，预期指标是明显，实际完成值是明显，指标完成率是明显，达到单位履职能力对社会带来的影响预期目标。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提升公共服务能力指标，预期指标值为有效提升，实际完成指标值为有效提升，指标完成率是有效提升，达到单位履职能力对社会带来的影响预期目标。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保障对口援疆工作顺利进行指标，预期指标是有效保障，实际完成值是有效保障，指标完成率是有效保障，达到单位履职能力对社会带来的影响预期目标。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增强农牧民的幸福感和获得感指标，预期指标值是进一步增强，实际完成指标值进一步增强，指标完成率是进一步增强。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（3）项目实施的生态效益分析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（4）项目实施的可持续影响分析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打赢污染防治攻坚战指标，预期指标是持续影响，实际完成值是持续影响，指标完成率是持续影响，实现部门绩效长效机制建设，提高工作效率目标。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满足基层群众工作所需指标，预期指标是效果显著，实际完成值是效果显著，指标完成率是效果显著，实现部门绩效长效机制建设，提高工作效率目标。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按计划完成项目实施，已做满意度调查抽样问卷，具体如下：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受益群众满意度(%)指标，预期指标是大于等于95%，实际完成指标值为95%，指标完成率为100%，达到部门（单位）服务对象对部门履职效果的满意度。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受益工作人员满意度（%）指标，预期指标是大于等于95%，实际完成指标值为95%，指标完成率为100%，达到部门（单位）服务对象对部门履职效果的满意度。</w:t>
      </w:r>
    </w:p>
    <w:p w14:paraId="1267681E">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6D718EC0">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　　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绩效指标的明确性、可衡量性、相关性还需进一步提升。预算精细化管理还需完善，预算编制管理水平仍有进一步提升的空间。</w:t>
      </w:r>
    </w:p>
    <w:p w14:paraId="358CAAFC">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33B9BBBB">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是加大绩效工作宣传力度，强化绩效理念。二是完善绩效指标，提高整体绩效目标质量。提升预算精细化管理水平。三是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一是加强预算绩效目标管理工作。明确预算项目绩效目标编制要求，分类别建立科学合理、细化量化、可比可测预算绩效指标体系，突出结果导向，重点考核实绩。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二是加强绩效业务学习及培训，提高业务人员绩效管理意识，进一步加强预算绩效管理工作，优化项目支出绩效指标体系，完善预算绩效管理制度，有效推动我单位下一年度预算绩效管理工作常态化、规范化。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三是借助第三方专业机构力量，贯彻落实全面预算绩效管理工作，建立全过程预算绩效管理链条，将绩效各个环节紧密贯通。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19A40E82"/>
    <w:rsid w:val="200F4073"/>
    <w:rsid w:val="24B86128"/>
    <w:rsid w:val="42C433C0"/>
    <w:rsid w:val="51C70EA9"/>
    <w:rsid w:val="54F842B6"/>
    <w:rsid w:val="656071F2"/>
    <w:rsid w:val="6BF1756B"/>
    <w:rsid w:val="6F5E1AA3"/>
    <w:rsid w:val="744A45CD"/>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13918</Words>
  <Characters>14628</Characters>
  <Lines>2</Lines>
  <Paragraphs>1</Paragraphs>
  <TotalTime>31</TotalTime>
  <ScaleCrop>false</ScaleCrop>
  <LinksUpToDate>false</LinksUpToDate>
  <CharactersWithSpaces>14986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2025-07-31T03:27:24Z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